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05" w:rsidRPr="001C053D" w:rsidRDefault="00C16605" w:rsidP="00C16605">
      <w:pPr>
        <w:jc w:val="center"/>
        <w:rPr>
          <w:b/>
          <w:sz w:val="32"/>
          <w:szCs w:val="32"/>
        </w:rPr>
      </w:pPr>
      <w:r w:rsidRPr="001C053D">
        <w:rPr>
          <w:b/>
          <w:sz w:val="32"/>
          <w:szCs w:val="32"/>
        </w:rPr>
        <w:t>Creating a Weekly Bonus Plan</w:t>
      </w:r>
    </w:p>
    <w:p w:rsidR="00C16605" w:rsidRDefault="00C16605" w:rsidP="00C16605"/>
    <w:p w:rsidR="001C053D" w:rsidRPr="001C053D" w:rsidRDefault="001C053D" w:rsidP="001C053D">
      <w:pPr>
        <w:rPr>
          <w:sz w:val="24"/>
          <w:szCs w:val="24"/>
        </w:rPr>
      </w:pPr>
      <w:r w:rsidRPr="001C053D">
        <w:rPr>
          <w:sz w:val="24"/>
          <w:szCs w:val="24"/>
        </w:rPr>
        <w:t xml:space="preserve">Having a properly structured bonus plan will reward your staff, while keeping account of your practice’s bills. </w:t>
      </w:r>
      <w:r w:rsidR="00446CDA">
        <w:rPr>
          <w:sz w:val="24"/>
          <w:szCs w:val="24"/>
        </w:rPr>
        <w:t>This model will pay staff when the practice is collecting more than the breakeven point. This means that it is tracking that cash flow is fine before rewarding bonuses.</w:t>
      </w:r>
    </w:p>
    <w:p w:rsidR="00C16605" w:rsidRPr="00446CDA" w:rsidRDefault="00171BE4" w:rsidP="00446CD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Find your</w:t>
      </w:r>
      <w:r w:rsidR="00C16605" w:rsidRPr="00446CDA">
        <w:rPr>
          <w:sz w:val="24"/>
          <w:szCs w:val="24"/>
        </w:rPr>
        <w:t xml:space="preserve"> breakeven point </w:t>
      </w:r>
      <w:r>
        <w:rPr>
          <w:sz w:val="24"/>
          <w:szCs w:val="24"/>
        </w:rPr>
        <w:t>from HDA Accounting. Your breakeven point consists of:</w:t>
      </w:r>
    </w:p>
    <w:tbl>
      <w:tblPr>
        <w:tblStyle w:val="GridTable4-Accent5"/>
        <w:tblW w:w="0" w:type="auto"/>
        <w:tblInd w:w="1525" w:type="dxa"/>
        <w:tblLook w:val="04A0" w:firstRow="1" w:lastRow="0" w:firstColumn="1" w:lastColumn="0" w:noHBand="0" w:noVBand="1"/>
      </w:tblPr>
      <w:tblGrid>
        <w:gridCol w:w="4270"/>
        <w:gridCol w:w="1530"/>
      </w:tblGrid>
      <w:tr w:rsidR="00C16605" w:rsidRPr="001C053D" w:rsidTr="001C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C16605" w:rsidP="00C16605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1C053D">
              <w:rPr>
                <w:sz w:val="24"/>
                <w:szCs w:val="24"/>
              </w:rPr>
              <w:t>Variable Costs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53D">
              <w:rPr>
                <w:sz w:val="24"/>
                <w:szCs w:val="24"/>
              </w:rPr>
              <w:t>Fixed Costs</w:t>
            </w:r>
          </w:p>
        </w:tc>
      </w:tr>
      <w:tr w:rsidR="00C16605" w:rsidRPr="001C053D" w:rsidTr="001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446CDA" w:rsidP="00446CD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Payroll for everyone (including dentist)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053D">
              <w:rPr>
                <w:sz w:val="24"/>
                <w:szCs w:val="24"/>
              </w:rPr>
              <w:t>Rent</w:t>
            </w:r>
          </w:p>
        </w:tc>
      </w:tr>
      <w:tr w:rsidR="00C16605" w:rsidRPr="001C053D" w:rsidTr="001C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C16605" w:rsidP="00C16605">
            <w:pPr>
              <w:jc w:val="center"/>
              <w:rPr>
                <w:b w:val="0"/>
                <w:sz w:val="24"/>
                <w:szCs w:val="24"/>
              </w:rPr>
            </w:pPr>
            <w:r w:rsidRPr="001C053D">
              <w:rPr>
                <w:b w:val="0"/>
                <w:sz w:val="24"/>
                <w:szCs w:val="24"/>
              </w:rPr>
              <w:t>Lab Fees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6605" w:rsidRPr="001C053D" w:rsidTr="001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C16605" w:rsidP="00C16605">
            <w:pPr>
              <w:jc w:val="center"/>
              <w:rPr>
                <w:b w:val="0"/>
                <w:sz w:val="24"/>
                <w:szCs w:val="24"/>
              </w:rPr>
            </w:pPr>
            <w:r w:rsidRPr="001C053D">
              <w:rPr>
                <w:b w:val="0"/>
                <w:sz w:val="24"/>
                <w:szCs w:val="24"/>
              </w:rPr>
              <w:t>Cost of materials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6605" w:rsidRPr="001C053D" w:rsidTr="001C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C16605" w:rsidP="00C16605">
            <w:pPr>
              <w:jc w:val="center"/>
              <w:rPr>
                <w:b w:val="0"/>
                <w:sz w:val="24"/>
                <w:szCs w:val="24"/>
              </w:rPr>
            </w:pPr>
            <w:r w:rsidRPr="001C053D">
              <w:rPr>
                <w:b w:val="0"/>
                <w:sz w:val="24"/>
                <w:szCs w:val="24"/>
              </w:rPr>
              <w:t>Marketing expenses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6605" w:rsidRPr="001C053D" w:rsidTr="001C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:rsidR="00C16605" w:rsidRPr="001C053D" w:rsidRDefault="00C16605" w:rsidP="00C16605">
            <w:pPr>
              <w:jc w:val="center"/>
              <w:rPr>
                <w:b w:val="0"/>
                <w:sz w:val="24"/>
                <w:szCs w:val="24"/>
              </w:rPr>
            </w:pPr>
            <w:r w:rsidRPr="001C053D">
              <w:rPr>
                <w:b w:val="0"/>
                <w:sz w:val="24"/>
                <w:szCs w:val="24"/>
              </w:rPr>
              <w:t>Utilities</w:t>
            </w:r>
          </w:p>
        </w:tc>
        <w:tc>
          <w:tcPr>
            <w:tcW w:w="1530" w:type="dxa"/>
          </w:tcPr>
          <w:p w:rsidR="00C16605" w:rsidRPr="001C053D" w:rsidRDefault="00C16605" w:rsidP="00C1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16605" w:rsidRPr="001C053D" w:rsidRDefault="00C16605" w:rsidP="00C16605">
      <w:pPr>
        <w:rPr>
          <w:sz w:val="24"/>
          <w:szCs w:val="24"/>
        </w:rPr>
      </w:pPr>
    </w:p>
    <w:p w:rsidR="00C1747E" w:rsidRPr="001C053D" w:rsidRDefault="00C16605" w:rsidP="00446C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053D">
        <w:rPr>
          <w:sz w:val="24"/>
          <w:szCs w:val="24"/>
        </w:rPr>
        <w:t xml:space="preserve">After </w:t>
      </w:r>
      <w:r w:rsidR="00171BE4">
        <w:rPr>
          <w:sz w:val="24"/>
          <w:szCs w:val="24"/>
        </w:rPr>
        <w:t xml:space="preserve">finding </w:t>
      </w:r>
      <w:bookmarkStart w:id="0" w:name="_GoBack"/>
      <w:bookmarkEnd w:id="0"/>
      <w:r w:rsidRPr="001C053D">
        <w:rPr>
          <w:sz w:val="24"/>
          <w:szCs w:val="24"/>
        </w:rPr>
        <w:t>your breakeven point, divide that number by 4 weeks.</w:t>
      </w:r>
    </w:p>
    <w:p w:rsidR="00C16605" w:rsidRPr="001C053D" w:rsidRDefault="00C16605" w:rsidP="00446C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053D">
        <w:rPr>
          <w:sz w:val="24"/>
          <w:szCs w:val="24"/>
        </w:rPr>
        <w:t>Add 10% to that number. Costs vary each month, so this buffer will help account for the v</w:t>
      </w:r>
      <w:r w:rsidR="00680115">
        <w:rPr>
          <w:sz w:val="24"/>
          <w:szCs w:val="24"/>
        </w:rPr>
        <w:t>olatility</w:t>
      </w:r>
      <w:r w:rsidRPr="001C053D">
        <w:rPr>
          <w:sz w:val="24"/>
          <w:szCs w:val="24"/>
        </w:rPr>
        <w:t>.</w:t>
      </w:r>
    </w:p>
    <w:p w:rsidR="00C16605" w:rsidRPr="001C053D" w:rsidRDefault="00C16605" w:rsidP="00446C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053D">
        <w:rPr>
          <w:sz w:val="24"/>
          <w:szCs w:val="24"/>
        </w:rPr>
        <w:t>Divide this number by the collection rate %. Production % is not accurate, because the office does not get 100% of the cash owed from patients.</w:t>
      </w:r>
    </w:p>
    <w:p w:rsidR="00C16605" w:rsidRPr="001C053D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>Example:</w:t>
      </w:r>
    </w:p>
    <w:p w:rsidR="001C053D" w:rsidRPr="001C053D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ab/>
        <w:t xml:space="preserve">Breakeven Point is </w:t>
      </w: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  <w:t>$43,985/month</w:t>
      </w:r>
    </w:p>
    <w:p w:rsidR="001C053D" w:rsidRPr="001C053D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ab/>
        <w:t>Af</w:t>
      </w:r>
      <w:r w:rsidR="00664C73">
        <w:rPr>
          <w:sz w:val="24"/>
          <w:szCs w:val="24"/>
        </w:rPr>
        <w:t>ter dividing that number by 4:</w:t>
      </w:r>
      <w:r w:rsidR="00664C73">
        <w:rPr>
          <w:sz w:val="24"/>
          <w:szCs w:val="24"/>
        </w:rPr>
        <w:tab/>
      </w:r>
      <w:r w:rsidRPr="001C053D">
        <w:rPr>
          <w:sz w:val="24"/>
          <w:szCs w:val="24"/>
        </w:rPr>
        <w:t>$10,996/week</w:t>
      </w:r>
    </w:p>
    <w:p w:rsidR="001C053D" w:rsidRPr="001C053D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ab/>
        <w:t>Adding 10% to that number:</w:t>
      </w: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  <w:t>$12,096/week</w:t>
      </w:r>
    </w:p>
    <w:p w:rsidR="001C053D" w:rsidRPr="001C053D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ab/>
        <w:t>Divide by .96 (collection rate)</w:t>
      </w: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  <w:t>$12,600/week</w:t>
      </w:r>
    </w:p>
    <w:p w:rsidR="001C053D" w:rsidRPr="001C053D" w:rsidRDefault="001C053D" w:rsidP="00C16605">
      <w:pPr>
        <w:rPr>
          <w:sz w:val="24"/>
          <w:szCs w:val="24"/>
        </w:rPr>
      </w:pPr>
    </w:p>
    <w:p w:rsidR="00C16605" w:rsidRPr="001C053D" w:rsidRDefault="00C16605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>From there,</w:t>
      </w:r>
      <w:r w:rsidR="00664C73">
        <w:rPr>
          <w:sz w:val="24"/>
          <w:szCs w:val="24"/>
        </w:rPr>
        <w:t xml:space="preserve"> calculate the ranges for small, medium, and large bonuses. I have provided corresponding numbers from my example.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664C73" w:rsidTr="00664C73">
        <w:tc>
          <w:tcPr>
            <w:tcW w:w="3116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Calculations Needed</w:t>
            </w:r>
          </w:p>
        </w:tc>
      </w:tr>
      <w:tr w:rsidR="00664C73" w:rsidTr="00664C73">
        <w:tc>
          <w:tcPr>
            <w:tcW w:w="3116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Bonus</w:t>
            </w:r>
          </w:p>
        </w:tc>
        <w:tc>
          <w:tcPr>
            <w:tcW w:w="3117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 w:rsidRPr="001C053D">
              <w:rPr>
                <w:sz w:val="24"/>
                <w:szCs w:val="24"/>
              </w:rPr>
              <w:t>$12,600 to $12,600 + 10%</w:t>
            </w:r>
            <w:r w:rsidR="00EC227B">
              <w:rPr>
                <w:sz w:val="24"/>
                <w:szCs w:val="24"/>
              </w:rPr>
              <w:t xml:space="preserve">* </w:t>
            </w:r>
          </w:p>
        </w:tc>
      </w:tr>
      <w:tr w:rsidR="00664C73" w:rsidTr="00664C73">
        <w:tc>
          <w:tcPr>
            <w:tcW w:w="3116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Bonus</w:t>
            </w:r>
          </w:p>
        </w:tc>
        <w:tc>
          <w:tcPr>
            <w:tcW w:w="3117" w:type="dxa"/>
          </w:tcPr>
          <w:p w:rsidR="00664C73" w:rsidRDefault="00EC227B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C73" w:rsidRPr="001C053D">
              <w:rPr>
                <w:sz w:val="24"/>
                <w:szCs w:val="24"/>
              </w:rPr>
              <w:t>$13,900 to $13,900 +10%</w:t>
            </w:r>
            <w:r>
              <w:rPr>
                <w:sz w:val="24"/>
                <w:szCs w:val="24"/>
              </w:rPr>
              <w:t>**</w:t>
            </w:r>
          </w:p>
        </w:tc>
      </w:tr>
      <w:tr w:rsidR="00664C73" w:rsidTr="00664C73">
        <w:tc>
          <w:tcPr>
            <w:tcW w:w="3116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Bonus</w:t>
            </w:r>
          </w:p>
        </w:tc>
        <w:tc>
          <w:tcPr>
            <w:tcW w:w="3117" w:type="dxa"/>
          </w:tcPr>
          <w:p w:rsidR="00664C73" w:rsidRDefault="00664C73" w:rsidP="00664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$15,300+</w:t>
            </w:r>
          </w:p>
        </w:tc>
      </w:tr>
    </w:tbl>
    <w:p w:rsidR="00EC227B" w:rsidRDefault="001C053D" w:rsidP="00C16605">
      <w:pPr>
        <w:rPr>
          <w:sz w:val="24"/>
          <w:szCs w:val="24"/>
        </w:rPr>
      </w:pP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</w:r>
      <w:r w:rsidRPr="001C053D">
        <w:rPr>
          <w:sz w:val="24"/>
          <w:szCs w:val="24"/>
        </w:rPr>
        <w:tab/>
      </w:r>
    </w:p>
    <w:p w:rsidR="001C053D" w:rsidRDefault="00EC227B" w:rsidP="00C16605">
      <w:pPr>
        <w:rPr>
          <w:sz w:val="24"/>
          <w:szCs w:val="24"/>
        </w:rPr>
      </w:pPr>
      <w:r>
        <w:rPr>
          <w:sz w:val="24"/>
          <w:szCs w:val="24"/>
        </w:rPr>
        <w:t>*$13,900 = $12,600 + 10%</w:t>
      </w:r>
    </w:p>
    <w:p w:rsidR="00EC227B" w:rsidRDefault="00EC227B" w:rsidP="00C16605">
      <w:pPr>
        <w:rPr>
          <w:sz w:val="24"/>
          <w:szCs w:val="24"/>
        </w:rPr>
      </w:pPr>
      <w:r>
        <w:rPr>
          <w:sz w:val="24"/>
          <w:szCs w:val="24"/>
        </w:rPr>
        <w:t>**$15,300 = $13,900 + 10%</w:t>
      </w:r>
    </w:p>
    <w:p w:rsidR="00EC227B" w:rsidRPr="001C053D" w:rsidRDefault="00EC227B" w:rsidP="00C16605">
      <w:pPr>
        <w:rPr>
          <w:sz w:val="24"/>
          <w:szCs w:val="24"/>
        </w:rPr>
      </w:pPr>
    </w:p>
    <w:p w:rsidR="001C053D" w:rsidRDefault="00664C73" w:rsidP="00C16605">
      <w:r>
        <w:t>Once you have calculated your ranges, here is what the corresponding amounts would be for small, medium and large bonuses.</w:t>
      </w:r>
      <w:r w:rsidR="00C16605">
        <w:tab/>
      </w:r>
    </w:p>
    <w:p w:rsidR="00664C73" w:rsidRDefault="00664C73" w:rsidP="00C16605"/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1C053D" w:rsidRPr="005F2216" w:rsidTr="00042D35">
        <w:trPr>
          <w:trHeight w:val="296"/>
        </w:trPr>
        <w:tc>
          <w:tcPr>
            <w:tcW w:w="3140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Weekly Production</w:t>
            </w:r>
          </w:p>
        </w:tc>
        <w:tc>
          <w:tcPr>
            <w:tcW w:w="3141" w:type="dxa"/>
          </w:tcPr>
          <w:p w:rsidR="001C053D" w:rsidRPr="00042D35" w:rsidRDefault="00664C73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Bonus Amount</w:t>
            </w:r>
          </w:p>
        </w:tc>
      </w:tr>
      <w:tr w:rsidR="001C053D" w:rsidRPr="005F2216" w:rsidTr="00042D35">
        <w:trPr>
          <w:trHeight w:val="350"/>
        </w:trPr>
        <w:tc>
          <w:tcPr>
            <w:tcW w:w="3140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Small Bonus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$12,600 - $13,900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$20</w:t>
            </w:r>
          </w:p>
        </w:tc>
      </w:tr>
      <w:tr w:rsidR="001C053D" w:rsidRPr="005F2216" w:rsidTr="00042D35">
        <w:trPr>
          <w:trHeight w:val="314"/>
        </w:trPr>
        <w:tc>
          <w:tcPr>
            <w:tcW w:w="3140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Medium Bonus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$13,900 - $15,300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$60</w:t>
            </w:r>
          </w:p>
        </w:tc>
      </w:tr>
      <w:tr w:rsidR="001C053D" w:rsidRPr="005F2216" w:rsidTr="00042D35">
        <w:trPr>
          <w:trHeight w:val="386"/>
        </w:trPr>
        <w:tc>
          <w:tcPr>
            <w:tcW w:w="3140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Large Bonus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$15,300+</w:t>
            </w:r>
          </w:p>
        </w:tc>
        <w:tc>
          <w:tcPr>
            <w:tcW w:w="3141" w:type="dxa"/>
          </w:tcPr>
          <w:p w:rsidR="001C053D" w:rsidRPr="00042D35" w:rsidRDefault="001C053D" w:rsidP="001118B5">
            <w:pPr>
              <w:jc w:val="center"/>
              <w:rPr>
                <w:sz w:val="24"/>
                <w:szCs w:val="24"/>
              </w:rPr>
            </w:pPr>
            <w:r w:rsidRPr="00042D35">
              <w:rPr>
                <w:sz w:val="24"/>
                <w:szCs w:val="24"/>
              </w:rPr>
              <w:t>$120</w:t>
            </w:r>
          </w:p>
        </w:tc>
      </w:tr>
    </w:tbl>
    <w:p w:rsidR="00C16605" w:rsidRDefault="00C16605" w:rsidP="00C16605"/>
    <w:p w:rsidR="00446CDA" w:rsidRDefault="00446CDA" w:rsidP="00C16605"/>
    <w:sectPr w:rsidR="0044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213"/>
    <w:multiLevelType w:val="hybridMultilevel"/>
    <w:tmpl w:val="4348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B15"/>
    <w:multiLevelType w:val="hybridMultilevel"/>
    <w:tmpl w:val="5546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40EB"/>
    <w:multiLevelType w:val="hybridMultilevel"/>
    <w:tmpl w:val="214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13FA"/>
    <w:multiLevelType w:val="hybridMultilevel"/>
    <w:tmpl w:val="47B6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35F"/>
    <w:multiLevelType w:val="hybridMultilevel"/>
    <w:tmpl w:val="D906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E"/>
    <w:rsid w:val="00042D35"/>
    <w:rsid w:val="00157B4C"/>
    <w:rsid w:val="00171BE4"/>
    <w:rsid w:val="001C053D"/>
    <w:rsid w:val="00446CDA"/>
    <w:rsid w:val="005F2216"/>
    <w:rsid w:val="00664C73"/>
    <w:rsid w:val="00680115"/>
    <w:rsid w:val="00C16605"/>
    <w:rsid w:val="00C1747E"/>
    <w:rsid w:val="00E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2C843-59E5-48C7-A262-33C0287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7E"/>
    <w:pPr>
      <w:ind w:left="720"/>
      <w:contextualSpacing/>
    </w:pPr>
  </w:style>
  <w:style w:type="table" w:styleId="TableGrid">
    <w:name w:val="Table Grid"/>
    <w:basedOn w:val="TableNormal"/>
    <w:uiPriority w:val="39"/>
    <w:rsid w:val="00C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166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Wu</dc:creator>
  <cp:keywords/>
  <dc:description/>
  <cp:lastModifiedBy>Genina Mery</cp:lastModifiedBy>
  <cp:revision>2</cp:revision>
  <dcterms:created xsi:type="dcterms:W3CDTF">2015-11-30T16:53:00Z</dcterms:created>
  <dcterms:modified xsi:type="dcterms:W3CDTF">2015-11-30T16:53:00Z</dcterms:modified>
</cp:coreProperties>
</file>